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Запрос ценовых предложений</w:t>
      </w:r>
    </w:p>
    <w:p w14:paraId="11599AB3" w14:textId="7D9CB466" w:rsidR="00824828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Объявление</w:t>
      </w:r>
      <w:r w:rsidR="00837116"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b/>
          <w:sz w:val="20"/>
          <w:szCs w:val="20"/>
        </w:rPr>
        <w:t>по закупу медицинск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</w:p>
    <w:p w14:paraId="02324120" w14:textId="5706866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Срок объявления: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с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05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июля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922993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 до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</w:rPr>
        <w:t>13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ию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я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922993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5CF92158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C811A11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16A1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9116A1">
        <w:rPr>
          <w:rFonts w:ascii="Times New Roman" w:hAnsi="Times New Roman" w:cs="Times New Roman"/>
          <w:sz w:val="20"/>
          <w:szCs w:val="20"/>
        </w:rPr>
        <w:t xml:space="preserve">  КГП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Лисаковская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, Больничный городок,1</w:t>
      </w:r>
    </w:p>
    <w:p w14:paraId="5FD1DAA3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БИН 960340000455</w:t>
      </w:r>
    </w:p>
    <w:p w14:paraId="10BD7E9A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БИК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HSBKKZKX</w:t>
      </w:r>
    </w:p>
    <w:p w14:paraId="50AE9630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ИИКKZ976017221000000125</w:t>
      </w:r>
    </w:p>
    <w:p w14:paraId="54C48AC6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АО "Народный Банк Казахстана"</w:t>
      </w:r>
    </w:p>
    <w:p w14:paraId="130CB7E2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Тел: 8 (71433) 3-48-62</w:t>
      </w:r>
    </w:p>
    <w:p w14:paraId="69F7066E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>Е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8" w:history="1">
        <w:r w:rsidRPr="009116A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lisgorbol@mail.ru</w:t>
        </w:r>
      </w:hyperlink>
    </w:p>
    <w:p w14:paraId="44BEA60B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95E69DE" w14:textId="679C3E7E" w:rsidR="00824828" w:rsidRPr="009116A1" w:rsidRDefault="002263A2" w:rsidP="00F71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Наименование медицинск</w:t>
      </w:r>
      <w:r w:rsidR="00DF6BC7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  <w:r w:rsidRPr="009116A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9116A1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5DBB1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</w:t>
            </w:r>
          </w:p>
          <w:p w14:paraId="09556D0B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52948" w:rsidRPr="009116A1" w14:paraId="28376BD0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038084" w14:textId="6A78CFA6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Ножка бедренная для тотального эндопротеза тазобедренного сустава бесцементной фиксации. Материал: Титановый сплав, гидроксиапатит. Форма: Клиновидная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фрональной плоскости. Тип фиксации: Фиксация первичная - пресс-фит. Вторичная - остеоинтеграция.  Покрытие: Плазменное титановое напыление в сочетании с мелкодисперсным гидроксиапатитовым покрытием, толщиной 50 микрометров, нанесенное циркулярно только в проксимальной части ножки. Типоразмеры: 12 стандартных типоразмеров. Офсет для компонента с шеечно-диафизарным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Шеечно-диафизарный угол (угол между шейкой и осью ножки): 127 градусов. Конус: 11/13.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5A65FAAE" w14:textId="0B29A286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4EBDEE" w14:textId="5FAA177D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9" w:type="dxa"/>
          </w:tcPr>
          <w:p w14:paraId="08D90957" w14:textId="4B436E75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270160</w:t>
            </w:r>
          </w:p>
        </w:tc>
        <w:tc>
          <w:tcPr>
            <w:tcW w:w="1169" w:type="dxa"/>
          </w:tcPr>
          <w:p w14:paraId="0947F2B9" w14:textId="74F15A10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4052400</w:t>
            </w:r>
          </w:p>
        </w:tc>
      </w:tr>
      <w:tr w:rsidR="00952948" w:rsidRPr="009116A1" w14:paraId="71DEA8B7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37BECE32" w14:textId="230FD7D0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F917C0" w14:textId="04B3A49E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Головка бедренная для тотального эндопротеза тазобедренного сустава бесцементной фиксации.  Материал:Кобальтохромовый сплав. Диаметр: 22,2; 26; 28; 32; 36 мм. Офсет: Для диаметра 28 мм: -4, 0, +4, +6, +8, +12. Конус: 11/13.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4810F472" w14:textId="0D58D459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7E8F22" w14:textId="1B541125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9" w:type="dxa"/>
          </w:tcPr>
          <w:p w14:paraId="0B45DD67" w14:textId="6A1916AA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74685</w:t>
            </w:r>
          </w:p>
        </w:tc>
        <w:tc>
          <w:tcPr>
            <w:tcW w:w="1169" w:type="dxa"/>
          </w:tcPr>
          <w:p w14:paraId="124B67ED" w14:textId="5F876587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1120275</w:t>
            </w:r>
          </w:p>
        </w:tc>
      </w:tr>
      <w:tr w:rsidR="00952948" w:rsidRPr="009116A1" w14:paraId="5CA04004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7B66DD82" w14:textId="31D6FF22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44CACAD" w14:textId="4EEA9544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Чашка ацетабулярная для тотального эндопротеза тазобедренного сустава бесцементной фиксации. Материал: Титановый сплав, гидроксиапатит. Форма: Полусферическая. На полюсе имеется резьбовое отверстие для фиксации импактора.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гидроксиапатитовым покрытием толщиной 50 микрометров. Тип фиксации: Первичная бесцементная фиксация по типу пресс-фит с возможностью дополнительной фиксации спонгиозными винтами у вариантов, предусматривающих наличие отверстий для винтовой фиксации. Вторичная фиксация за счет остеоинтеграции. Типоразмеры: 17 типоразмеров в диапазоне от 40 мм до 74 мм с шагом 2 мм. Варианты: Без отверстий, с секторным расположением 3 отверстий, с 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секторным расположением 5 отверстий, с равномерным распределением 8-12 отверстий. Размеры по заявке Заказчика</w:t>
            </w:r>
          </w:p>
        </w:tc>
        <w:tc>
          <w:tcPr>
            <w:tcW w:w="991" w:type="dxa"/>
            <w:shd w:val="clear" w:color="auto" w:fill="auto"/>
          </w:tcPr>
          <w:p w14:paraId="7C894AC7" w14:textId="23D71EE5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069DA5" w14:textId="03228027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9" w:type="dxa"/>
          </w:tcPr>
          <w:p w14:paraId="2ADA8568" w14:textId="684EC9DA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135482</w:t>
            </w:r>
          </w:p>
        </w:tc>
        <w:tc>
          <w:tcPr>
            <w:tcW w:w="1169" w:type="dxa"/>
          </w:tcPr>
          <w:p w14:paraId="1C3C9EAE" w14:textId="31A299EC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2032230</w:t>
            </w:r>
          </w:p>
        </w:tc>
      </w:tr>
      <w:tr w:rsidR="00952948" w:rsidRPr="009116A1" w14:paraId="61A32277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02549D29" w14:textId="4A6E265E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1DD2EA" w14:textId="4B4A83EB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Вкладыш для тотального эндопротеза тазобедренного сустава бесцементной фиксации. Материал: Сверхвысокомолекулярный полиэтилен с большим количеством поперечных связей. Форма: Полусферическая, по экватору вкладыш имеет циркулярные выступы для фиксации в чашке и 12 желобков по периферии для сопоставления с деротационными выступами чашки. Механизм фиксации: Путем импакционного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диаметр которого начинается от 44 мм. Варианты: Стандартный, с козырьком 10 градусов</w:t>
            </w:r>
          </w:p>
        </w:tc>
        <w:tc>
          <w:tcPr>
            <w:tcW w:w="991" w:type="dxa"/>
            <w:shd w:val="clear" w:color="auto" w:fill="auto"/>
          </w:tcPr>
          <w:p w14:paraId="2A310426" w14:textId="0EC8F263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78E591" w14:textId="5D9B0520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9" w:type="dxa"/>
          </w:tcPr>
          <w:p w14:paraId="7A0BAD9C" w14:textId="45F7B186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91157</w:t>
            </w:r>
          </w:p>
        </w:tc>
        <w:tc>
          <w:tcPr>
            <w:tcW w:w="1169" w:type="dxa"/>
          </w:tcPr>
          <w:p w14:paraId="2D1033E2" w14:textId="4A6243C3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1367355</w:t>
            </w:r>
          </w:p>
        </w:tc>
      </w:tr>
      <w:tr w:rsidR="00952948" w:rsidRPr="009116A1" w14:paraId="732845A9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7871CFC2" w14:textId="6B0552D6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3C3319" w14:textId="2D7758D4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Бедренный компонент для тотального эндопротеза коленного сустава: Материал: Кобальтохромовый сплав. Версия: С сохранением задней крестообразной связки. Форма: Анатомическая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деротационные ножки. Типоразмеры: 8 типоразмеров для правого и левого компонентов. Медиально-латеральный размер от  59 до 80 мм, передне-задний размер  от 53 до 75 мм. Толщина дистального и заднего фланцев 8,5 мм. Тип фиксации: цементная.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3D811608" w14:textId="4E078679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37037B" w14:textId="1F2075DF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9" w:type="dxa"/>
          </w:tcPr>
          <w:p w14:paraId="058D3F9B" w14:textId="36CE60C3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298821</w:t>
            </w:r>
          </w:p>
        </w:tc>
        <w:tc>
          <w:tcPr>
            <w:tcW w:w="1169" w:type="dxa"/>
          </w:tcPr>
          <w:p w14:paraId="16CDE072" w14:textId="2662F946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2988210</w:t>
            </w:r>
          </w:p>
        </w:tc>
      </w:tr>
      <w:tr w:rsidR="00952948" w:rsidRPr="009116A1" w14:paraId="39A9783B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2EC5D892" w14:textId="5D01569E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7121C19" w14:textId="79159037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Большеберцовый компонент для тотального эндопротеза коленного сустава. Материал: Кобальтохромовый сплав. Форма: Универсальный для правого и левого суставов. Основание имеет срединный деротационный выступ для центрирования и фиксации вкладыша. Ножка имеет килевидную форму со ступенчатыми боковыми крыльями без центрального цилиндрического стержня. Типоразмеры: 8 типоразмеров. Передне-задние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цементная.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0CCCDABB" w14:textId="11BEA6E1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EFDDED" w14:textId="3B569CF1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9" w:type="dxa"/>
          </w:tcPr>
          <w:p w14:paraId="72218418" w14:textId="3E01C381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148863</w:t>
            </w:r>
          </w:p>
        </w:tc>
        <w:tc>
          <w:tcPr>
            <w:tcW w:w="1169" w:type="dxa"/>
          </w:tcPr>
          <w:p w14:paraId="0AD57300" w14:textId="64B5F3DE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1488630</w:t>
            </w:r>
          </w:p>
        </w:tc>
      </w:tr>
      <w:tr w:rsidR="00952948" w:rsidRPr="009116A1" w14:paraId="33B0CF13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5CCC9BCB" w14:textId="1764E143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81AD2A" w14:textId="0C950E7F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Большеберцовый вкладыш для тотального эндопротеза коленного сустава. Тип: Фиксированный. Механизм фиксации: Импакционное защелкивание на большеберцовом компоненте. Стабилизация сустава: Мыщелковая, за счет увеличенной высоты переднего края основания. Геометрия артикуляционной части позволяет использовать компонент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 Толщина вкладыша с учетом толщины основания большеберцового компонента:  9, 11, 13, 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16, 19 мм для каждого типоразмера. Размеры по заявке Заказчика</w:t>
            </w:r>
          </w:p>
        </w:tc>
        <w:tc>
          <w:tcPr>
            <w:tcW w:w="991" w:type="dxa"/>
            <w:shd w:val="clear" w:color="auto" w:fill="auto"/>
          </w:tcPr>
          <w:p w14:paraId="79DCE5BE" w14:textId="5A14ADD3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66A0C9" w14:textId="04CF947C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9" w:type="dxa"/>
          </w:tcPr>
          <w:p w14:paraId="3E33151D" w14:textId="33597AD8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112932</w:t>
            </w:r>
          </w:p>
        </w:tc>
        <w:tc>
          <w:tcPr>
            <w:tcW w:w="1169" w:type="dxa"/>
          </w:tcPr>
          <w:p w14:paraId="48BDC80F" w14:textId="0ACA793A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1129320</w:t>
            </w:r>
          </w:p>
        </w:tc>
      </w:tr>
      <w:tr w:rsidR="00952948" w:rsidRPr="009116A1" w14:paraId="1C919B13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155FE812" w14:textId="14229678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56C28C" w14:textId="6972EDB1" w:rsidR="00952948" w:rsidRPr="009116A1" w:rsidRDefault="00952948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Рентгеноконтрастный к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остный цемент должен собой представлять 2 стерильно упакованных компонента: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Один компонент: ампула, содержащая жидкий мономер, полная доза  следующего состава 20 мл: - Метилметакрилат (мономер) 19,5 мл,  - N, N-диметилтолидин  0,5 мл, - Гидрокинон 1,5 мг.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Другой компонент: пакет полная доза порошка следующего состава 40 гр:  - Метилметакрилат –стирен кополимер 30 гр, - Полиметилметакрилат 6 гр, - Полиметилметакрилат 6 гр, - Бария Сульфат  4 гр.   Температура экзотермической реакции не более 60˚С,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 Время работы от 7 до 8 минут. Стерильность: Система является одноразовой и поставляется в стерильной упаковке.</w:t>
            </w:r>
          </w:p>
        </w:tc>
        <w:tc>
          <w:tcPr>
            <w:tcW w:w="991" w:type="dxa"/>
            <w:shd w:val="clear" w:color="auto" w:fill="auto"/>
          </w:tcPr>
          <w:p w14:paraId="6A723DB0" w14:textId="665D584F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B5780F" w14:textId="2A7FFEBD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69" w:type="dxa"/>
          </w:tcPr>
          <w:p w14:paraId="3BCB993D" w14:textId="149967DC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22000</w:t>
            </w:r>
          </w:p>
        </w:tc>
        <w:tc>
          <w:tcPr>
            <w:tcW w:w="1169" w:type="dxa"/>
          </w:tcPr>
          <w:p w14:paraId="0CC27F12" w14:textId="5C3228D4" w:rsidR="00952948" w:rsidRPr="009116A1" w:rsidRDefault="00952948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550000</w:t>
            </w:r>
          </w:p>
        </w:tc>
      </w:tr>
    </w:tbl>
    <w:p w14:paraId="180CDC27" w14:textId="0534061D" w:rsidR="002263A2" w:rsidRPr="009116A1" w:rsidRDefault="001C5B4D" w:rsidP="00E87E58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,</w:t>
      </w:r>
      <w:r w:rsidR="002263A2" w:rsidRPr="009116A1">
        <w:rPr>
          <w:rFonts w:ascii="Times New Roman" w:hAnsi="Times New Roman" w:cs="Times New Roman"/>
          <w:b/>
          <w:sz w:val="20"/>
          <w:szCs w:val="20"/>
        </w:rPr>
        <w:t>Место</w:t>
      </w:r>
      <w:proofErr w:type="gramEnd"/>
      <w:r w:rsidR="002263A2" w:rsidRPr="009116A1">
        <w:rPr>
          <w:rFonts w:ascii="Times New Roman" w:hAnsi="Times New Roman" w:cs="Times New Roman"/>
          <w:b/>
          <w:sz w:val="20"/>
          <w:szCs w:val="20"/>
        </w:rPr>
        <w:t xml:space="preserve"> поставки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: г. </w:t>
      </w:r>
      <w:proofErr w:type="spellStart"/>
      <w:r w:rsidR="002263A2" w:rsidRPr="009116A1">
        <w:rPr>
          <w:rFonts w:ascii="Times New Roman" w:hAnsi="Times New Roman" w:cs="Times New Roman"/>
          <w:sz w:val="20"/>
          <w:szCs w:val="20"/>
        </w:rPr>
        <w:t>Лисаковск</w:t>
      </w:r>
      <w:proofErr w:type="spellEnd"/>
      <w:r w:rsidR="002263A2" w:rsidRPr="009116A1">
        <w:rPr>
          <w:rFonts w:ascii="Times New Roman" w:hAnsi="Times New Roman" w:cs="Times New Roman"/>
          <w:sz w:val="20"/>
          <w:szCs w:val="20"/>
        </w:rPr>
        <w:t>,  Больничный городок,1 склад ИМН (1 этаж);</w:t>
      </w:r>
    </w:p>
    <w:p w14:paraId="40667D43" w14:textId="1755F1D6" w:rsidR="002263A2" w:rsidRPr="009116A1" w:rsidRDefault="002263A2" w:rsidP="002263A2">
      <w:pPr>
        <w:rPr>
          <w:rFonts w:ascii="Calibri" w:eastAsia="Times New Roman" w:hAnsi="Calibri" w:cs="Times New Roman"/>
          <w:color w:val="00000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Сумма, выделенная для закупа: </w:t>
      </w:r>
      <w:r w:rsidR="009116A1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14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 </w:t>
      </w:r>
      <w:r w:rsidR="009116A1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728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9116A1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420</w:t>
      </w:r>
      <w:r w:rsidR="003C12DB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,</w:t>
      </w:r>
      <w:r w:rsidR="00901C8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00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(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Четырнадцать </w:t>
      </w:r>
      <w:r w:rsidR="005E2E1E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мииллион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ов</w:t>
      </w:r>
      <w:r w:rsidR="00C41C7B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E87E5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семьсот 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двадцать восемь</w:t>
      </w:r>
      <w:r w:rsidR="005E2E1E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тысяч</w:t>
      </w:r>
      <w:r w:rsidR="00AF424D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четыреста двадцать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) тенге 00 тиын</w:t>
      </w:r>
      <w:r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.</w:t>
      </w:r>
    </w:p>
    <w:p w14:paraId="36E05CEA" w14:textId="616AA656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Срок поставки: 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до </w:t>
      </w:r>
      <w:r w:rsidR="003C12DB" w:rsidRPr="009116A1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декабря 2023 года </w:t>
      </w:r>
      <w:r w:rsidR="00922993" w:rsidRPr="009116A1">
        <w:rPr>
          <w:rFonts w:ascii="Times New Roman" w:hAnsi="Times New Roman" w:cs="Times New Roman"/>
          <w:sz w:val="20"/>
          <w:szCs w:val="20"/>
        </w:rPr>
        <w:t>(</w:t>
      </w:r>
      <w:r w:rsidR="00757258" w:rsidRPr="009116A1">
        <w:rPr>
          <w:rFonts w:ascii="Times New Roman" w:hAnsi="Times New Roman" w:cs="Times New Roman"/>
          <w:sz w:val="20"/>
          <w:szCs w:val="20"/>
        </w:rPr>
        <w:t>количество регулируется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заявк</w:t>
      </w:r>
      <w:r w:rsidR="00757258" w:rsidRPr="009116A1">
        <w:rPr>
          <w:rFonts w:ascii="Times New Roman" w:hAnsi="Times New Roman" w:cs="Times New Roman"/>
          <w:sz w:val="20"/>
          <w:szCs w:val="20"/>
          <w:lang w:val="kk-KZ"/>
        </w:rPr>
        <w:t>ой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Заказчика</w:t>
      </w:r>
      <w:r w:rsidR="009116A1" w:rsidRPr="009116A1">
        <w:rPr>
          <w:rFonts w:ascii="Times New Roman" w:hAnsi="Times New Roman" w:cs="Times New Roman"/>
          <w:sz w:val="20"/>
          <w:szCs w:val="20"/>
          <w:lang w:val="kk-KZ"/>
        </w:rPr>
        <w:t>, поставка с момента завяки Заказчика в течение 5 рабочих дней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9116A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8595439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Условия поставки:</w:t>
      </w:r>
      <w:r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DDP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7600F907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E7815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Место представления (приема) документов: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, Больничный городок, 1 (экономический отдел).  </w:t>
      </w:r>
    </w:p>
    <w:p w14:paraId="29317EE5" w14:textId="77777777" w:rsidR="00F729B5" w:rsidRPr="009116A1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4ABD6" w14:textId="77777777" w:rsidR="009116A1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Режим работы: с 08.00 ч. до 17.00 ч., перерыв на обед с 12.00 ч. до 13.00 ч.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DDD2AF" w14:textId="18912D54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предложений: </w:t>
      </w:r>
      <w:r w:rsidR="009116A1" w:rsidRPr="009116A1">
        <w:rPr>
          <w:rFonts w:ascii="Times New Roman" w:hAnsi="Times New Roman" w:cs="Times New Roman"/>
          <w:sz w:val="20"/>
          <w:szCs w:val="20"/>
          <w:lang w:val="kk-KZ"/>
        </w:rPr>
        <w:t>13</w:t>
      </w:r>
      <w:r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</w:rPr>
        <w:t>ию</w:t>
      </w:r>
      <w:r w:rsidR="009116A1" w:rsidRPr="009116A1">
        <w:rPr>
          <w:rFonts w:ascii="Times New Roman" w:hAnsi="Times New Roman" w:cs="Times New Roman"/>
          <w:sz w:val="20"/>
          <w:szCs w:val="20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</w:rPr>
        <w:t>я</w:t>
      </w:r>
      <w:r w:rsidR="005F3CA1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</w:rPr>
        <w:t>20</w:t>
      </w:r>
      <w:r w:rsidR="00DF6BC7" w:rsidRPr="009116A1">
        <w:rPr>
          <w:rFonts w:ascii="Times New Roman" w:hAnsi="Times New Roman" w:cs="Times New Roman"/>
          <w:sz w:val="20"/>
          <w:szCs w:val="20"/>
        </w:rPr>
        <w:t>2</w:t>
      </w:r>
      <w:r w:rsidR="00922993" w:rsidRPr="009116A1">
        <w:rPr>
          <w:rFonts w:ascii="Times New Roman" w:hAnsi="Times New Roman" w:cs="Times New Roman"/>
          <w:sz w:val="20"/>
          <w:szCs w:val="20"/>
        </w:rPr>
        <w:t>3</w:t>
      </w:r>
      <w:r w:rsidRPr="009116A1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9116A1" w:rsidRPr="009116A1">
        <w:rPr>
          <w:rFonts w:ascii="Times New Roman" w:hAnsi="Times New Roman" w:cs="Times New Roman"/>
          <w:sz w:val="20"/>
          <w:szCs w:val="20"/>
        </w:rPr>
        <w:t>09</w:t>
      </w:r>
      <w:r w:rsidRPr="009116A1">
        <w:rPr>
          <w:rFonts w:ascii="Times New Roman" w:hAnsi="Times New Roman" w:cs="Times New Roman"/>
          <w:sz w:val="20"/>
          <w:szCs w:val="20"/>
        </w:rPr>
        <w:t>.00 часов.</w:t>
      </w:r>
    </w:p>
    <w:p w14:paraId="5AE865F4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C2E84" w14:textId="4862FACC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предложениями: </w:t>
      </w:r>
      <w:r w:rsidR="009116A1" w:rsidRPr="009116A1">
        <w:rPr>
          <w:rFonts w:ascii="Times New Roman" w:hAnsi="Times New Roman" w:cs="Times New Roman"/>
          <w:bCs/>
          <w:sz w:val="20"/>
          <w:szCs w:val="20"/>
        </w:rPr>
        <w:t>13</w:t>
      </w:r>
      <w:r w:rsidR="00D14689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</w:rPr>
        <w:t>ию</w:t>
      </w:r>
      <w:r w:rsidR="009116A1" w:rsidRPr="009116A1">
        <w:rPr>
          <w:rFonts w:ascii="Times New Roman" w:hAnsi="Times New Roman" w:cs="Times New Roman"/>
          <w:sz w:val="20"/>
          <w:szCs w:val="20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</w:rPr>
        <w:t>я</w:t>
      </w:r>
      <w:r w:rsidR="005F3CA1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</w:rPr>
        <w:t>20</w:t>
      </w:r>
      <w:r w:rsidR="00DF6BC7" w:rsidRPr="009116A1">
        <w:rPr>
          <w:rFonts w:ascii="Times New Roman" w:hAnsi="Times New Roman" w:cs="Times New Roman"/>
          <w:sz w:val="20"/>
          <w:szCs w:val="20"/>
        </w:rPr>
        <w:t>2</w:t>
      </w:r>
      <w:r w:rsidR="00922993" w:rsidRPr="009116A1">
        <w:rPr>
          <w:rFonts w:ascii="Times New Roman" w:hAnsi="Times New Roman" w:cs="Times New Roman"/>
          <w:sz w:val="20"/>
          <w:szCs w:val="20"/>
        </w:rPr>
        <w:t>3</w:t>
      </w:r>
      <w:r w:rsidRPr="009116A1">
        <w:rPr>
          <w:rFonts w:ascii="Times New Roman" w:hAnsi="Times New Roman" w:cs="Times New Roman"/>
          <w:sz w:val="20"/>
          <w:szCs w:val="20"/>
        </w:rPr>
        <w:t xml:space="preserve"> года, </w:t>
      </w:r>
      <w:r w:rsidR="009116A1" w:rsidRPr="009116A1">
        <w:rPr>
          <w:rFonts w:ascii="Times New Roman" w:hAnsi="Times New Roman" w:cs="Times New Roman"/>
          <w:sz w:val="20"/>
          <w:szCs w:val="20"/>
        </w:rPr>
        <w:t>10</w:t>
      </w:r>
      <w:r w:rsidRPr="009116A1">
        <w:rPr>
          <w:rFonts w:ascii="Times New Roman" w:hAnsi="Times New Roman" w:cs="Times New Roman"/>
          <w:sz w:val="20"/>
          <w:szCs w:val="20"/>
        </w:rPr>
        <w:t xml:space="preserve">.00 часов,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proofErr w:type="gramStart"/>
      <w:r w:rsidRPr="009116A1">
        <w:rPr>
          <w:rFonts w:ascii="Times New Roman" w:hAnsi="Times New Roman" w:cs="Times New Roman"/>
          <w:sz w:val="20"/>
          <w:szCs w:val="20"/>
        </w:rPr>
        <w:t>,  Больничный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городок,1 (экономический отдел).</w:t>
      </w:r>
    </w:p>
    <w:p w14:paraId="22B12E82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51FFAE" w14:textId="77777777" w:rsidR="002263A2" w:rsidRPr="009116A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9116A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BFB6A" w14:textId="77777777" w:rsidR="009116A1" w:rsidRPr="009116A1" w:rsidRDefault="009116A1" w:rsidP="009116A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Конверт содержит:</w:t>
      </w:r>
    </w:p>
    <w:p w14:paraId="0AA8DEFD" w14:textId="77777777" w:rsidR="009116A1" w:rsidRPr="009116A1" w:rsidRDefault="009116A1" w:rsidP="009116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>1. Ценовое предложение по форме, утвержденной уполномоченным органом в области здравоохранения;</w:t>
      </w:r>
    </w:p>
    <w:p w14:paraId="0B7F3C5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2. Документ о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2B3ACAC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3. Документ о правоспособности на осуществление соответствующей фармацевтической деятельности;</w:t>
      </w:r>
    </w:p>
    <w:p w14:paraId="0982AAE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74E2717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E2812D6" w14:textId="77777777" w:rsidR="009116A1" w:rsidRPr="009116A1" w:rsidRDefault="009116A1" w:rsidP="009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6.  Документ о том, что потенциальный поставщик не подлежит процедуре банкротства либо ликвидации.</w:t>
      </w:r>
    </w:p>
    <w:p w14:paraId="52677A87" w14:textId="77777777" w:rsidR="009116A1" w:rsidRPr="009116A1" w:rsidRDefault="009116A1" w:rsidP="009116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ем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66D45E4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включенных в перечень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утвержденный уполномоченным органом в области здравоохранения,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7C312C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58A9CE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1B1C6D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C263B8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непревышение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1C5F1C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Правилами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1D902F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D535C8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211739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28D66A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45A861AC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7B7DC1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3848CE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5F1DFBC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C5162F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794EEE8D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6422A05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9) срок годности вакцин на дату поставки единым дистрибьютором заказчику составляет:</w:t>
      </w:r>
    </w:p>
    <w:p w14:paraId="1F6E1308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5CDCE32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210474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2FB870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11) новизна медицинской техники, ее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неиспользованность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производство в период двадцати четырех месяцев, предшествующих моменту поставки;</w:t>
      </w:r>
    </w:p>
    <w:p w14:paraId="4676F98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5D4F3A1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3741E81" w14:textId="77777777" w:rsidR="009116A1" w:rsidRPr="009116A1" w:rsidRDefault="009116A1" w:rsidP="009116A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58C323C3" w14:textId="77777777" w:rsidR="009116A1" w:rsidRPr="009116A1" w:rsidRDefault="009116A1" w:rsidP="009116A1">
      <w:pPr>
        <w:spacing w:after="5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513FD51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8DDD63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уведомлениях»;</w:t>
      </w:r>
    </w:p>
    <w:p w14:paraId="11703BE0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9B5BAD2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BCCD7D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C812CD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2A331DD" w:rsidR="002263A2" w:rsidRPr="009116A1" w:rsidRDefault="009116A1" w:rsidP="00911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F58C4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D8D27C0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B3AD4B4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FEE311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F59EFAB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4C73EC" w14:textId="77777777" w:rsidR="009C0371" w:rsidRPr="00952948" w:rsidRDefault="00601867" w:rsidP="00DF2E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. г</w:t>
      </w:r>
      <w:r w:rsidR="002263A2" w:rsidRPr="009116A1">
        <w:rPr>
          <w:rFonts w:ascii="Times New Roman" w:hAnsi="Times New Roman" w:cs="Times New Roman"/>
          <w:sz w:val="20"/>
          <w:szCs w:val="20"/>
        </w:rPr>
        <w:t>лавн</w:t>
      </w:r>
      <w:r w:rsidRPr="009116A1">
        <w:rPr>
          <w:rFonts w:ascii="Times New Roman" w:hAnsi="Times New Roman" w:cs="Times New Roman"/>
          <w:sz w:val="20"/>
          <w:szCs w:val="20"/>
        </w:rPr>
        <w:t>ого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врач</w:t>
      </w:r>
      <w:r w:rsidRPr="009116A1">
        <w:rPr>
          <w:rFonts w:ascii="Times New Roman" w:hAnsi="Times New Roman" w:cs="Times New Roman"/>
          <w:sz w:val="20"/>
          <w:szCs w:val="20"/>
        </w:rPr>
        <w:t>а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E1ADA" w:rsidRPr="009116A1">
        <w:rPr>
          <w:rFonts w:ascii="Times New Roman" w:hAnsi="Times New Roman" w:cs="Times New Roman"/>
          <w:sz w:val="20"/>
          <w:szCs w:val="20"/>
        </w:rPr>
        <w:t>Аленова К</w:t>
      </w:r>
      <w:r w:rsidR="003E1ADA" w:rsidRPr="00952948">
        <w:rPr>
          <w:rFonts w:ascii="Times New Roman" w:hAnsi="Times New Roman" w:cs="Times New Roman"/>
          <w:sz w:val="20"/>
          <w:szCs w:val="20"/>
        </w:rPr>
        <w:t>.К.</w:t>
      </w:r>
    </w:p>
    <w:sectPr w:rsidR="009C0371" w:rsidRPr="00952948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8864" w14:textId="77777777" w:rsidR="00AE58A8" w:rsidRDefault="00AE58A8" w:rsidP="003F166D">
      <w:pPr>
        <w:spacing w:after="0" w:line="240" w:lineRule="auto"/>
      </w:pPr>
      <w:r>
        <w:separator/>
      </w:r>
    </w:p>
  </w:endnote>
  <w:endnote w:type="continuationSeparator" w:id="0">
    <w:p w14:paraId="3ADFA2F5" w14:textId="77777777" w:rsidR="00AE58A8" w:rsidRDefault="00AE58A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F19" w14:textId="77777777" w:rsidR="00AE58A8" w:rsidRDefault="00AE58A8" w:rsidP="003F166D">
      <w:pPr>
        <w:spacing w:after="0" w:line="240" w:lineRule="auto"/>
      </w:pPr>
      <w:r>
        <w:separator/>
      </w:r>
    </w:p>
  </w:footnote>
  <w:footnote w:type="continuationSeparator" w:id="0">
    <w:p w14:paraId="6C065AAC" w14:textId="77777777" w:rsidR="00AE58A8" w:rsidRDefault="00AE58A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2473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345F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5B4D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60D4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3CA1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4729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77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16A1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948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5672"/>
    <w:rsid w:val="00AD73E7"/>
    <w:rsid w:val="00AE09E1"/>
    <w:rsid w:val="00AE32E9"/>
    <w:rsid w:val="00AE4463"/>
    <w:rsid w:val="00AE58A8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034E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0A2C"/>
    <w:rsid w:val="00B73374"/>
    <w:rsid w:val="00B81383"/>
    <w:rsid w:val="00B81EDD"/>
    <w:rsid w:val="00B8474C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16D14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B94"/>
    <w:rsid w:val="00D67E63"/>
    <w:rsid w:val="00D700CC"/>
    <w:rsid w:val="00D7193F"/>
    <w:rsid w:val="00D71F72"/>
    <w:rsid w:val="00D7357A"/>
    <w:rsid w:val="00D73900"/>
    <w:rsid w:val="00D7415E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B4F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87E58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4</cp:revision>
  <cp:lastPrinted>2023-07-04T08:43:00Z</cp:lastPrinted>
  <dcterms:created xsi:type="dcterms:W3CDTF">2023-07-04T08:10:00Z</dcterms:created>
  <dcterms:modified xsi:type="dcterms:W3CDTF">2023-07-04T08:45:00Z</dcterms:modified>
</cp:coreProperties>
</file>